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3A" w:rsidRPr="00A3643A" w:rsidRDefault="00A3643A" w:rsidP="00A3643A"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306"/>
        <w:bidiVisual/>
        <w:tblW w:w="0" w:type="auto"/>
        <w:tblLook w:val="04A0" w:firstRow="1" w:lastRow="0" w:firstColumn="1" w:lastColumn="0" w:noHBand="0" w:noVBand="1"/>
      </w:tblPr>
      <w:tblGrid>
        <w:gridCol w:w="756"/>
        <w:gridCol w:w="4243"/>
        <w:gridCol w:w="117"/>
        <w:gridCol w:w="4126"/>
      </w:tblGrid>
      <w:tr w:rsidR="00A3643A" w:rsidRPr="00DB7EEE" w:rsidTr="00A3643A">
        <w:tc>
          <w:tcPr>
            <w:tcW w:w="9242" w:type="dxa"/>
            <w:gridSpan w:val="4"/>
            <w:shd w:val="clear" w:color="auto" w:fill="C2D69B" w:themeFill="accent3" w:themeFillTint="99"/>
            <w:vAlign w:val="center"/>
          </w:tcPr>
          <w:p w:rsidR="00A3643A" w:rsidRPr="00DB7EEE" w:rsidRDefault="00A3643A" w:rsidP="00A3643A">
            <w:pPr>
              <w:spacing w:after="0"/>
              <w:jc w:val="center"/>
              <w:rPr>
                <w:b/>
                <w:bCs/>
                <w:sz w:val="28"/>
                <w:rtl/>
              </w:rPr>
            </w:pPr>
            <w:r w:rsidRPr="00DB7EEE">
              <w:rPr>
                <w:rFonts w:hint="cs"/>
                <w:b/>
                <w:bCs/>
                <w:sz w:val="28"/>
                <w:rtl/>
              </w:rPr>
              <w:t>قانون مدیریت پسماند</w:t>
            </w:r>
          </w:p>
        </w:tc>
      </w:tr>
      <w:tr w:rsidR="00A3643A" w:rsidRPr="00DB7EEE" w:rsidTr="00A3643A">
        <w:tc>
          <w:tcPr>
            <w:tcW w:w="756" w:type="dxa"/>
            <w:shd w:val="clear" w:color="auto" w:fill="D6E3BC" w:themeFill="accent3" w:themeFillTint="66"/>
            <w:vAlign w:val="center"/>
          </w:tcPr>
          <w:p w:rsidR="00A3643A" w:rsidRPr="00DB7EEE" w:rsidRDefault="00A3643A" w:rsidP="00A3643A">
            <w:pPr>
              <w:spacing w:after="0"/>
              <w:jc w:val="center"/>
              <w:rPr>
                <w:b/>
                <w:bCs/>
                <w:szCs w:val="24"/>
                <w:rtl/>
              </w:rPr>
            </w:pPr>
            <w:r w:rsidRPr="00DB7EEE">
              <w:rPr>
                <w:rFonts w:hint="cs"/>
                <w:b/>
                <w:bCs/>
                <w:szCs w:val="24"/>
                <w:rtl/>
              </w:rPr>
              <w:t>شماره ماده</w:t>
            </w:r>
          </w:p>
        </w:tc>
        <w:tc>
          <w:tcPr>
            <w:tcW w:w="4360" w:type="dxa"/>
            <w:gridSpan w:val="2"/>
            <w:shd w:val="clear" w:color="auto" w:fill="D6E3BC" w:themeFill="accent3" w:themeFillTint="66"/>
            <w:vAlign w:val="center"/>
          </w:tcPr>
          <w:p w:rsidR="00A3643A" w:rsidRPr="00DB7EEE" w:rsidRDefault="00A3643A" w:rsidP="00A3643A">
            <w:pPr>
              <w:spacing w:after="0"/>
              <w:jc w:val="center"/>
              <w:rPr>
                <w:b/>
                <w:bCs/>
                <w:szCs w:val="24"/>
                <w:rtl/>
              </w:rPr>
            </w:pPr>
            <w:r w:rsidRPr="00DB7EEE">
              <w:rPr>
                <w:rFonts w:hint="cs"/>
                <w:b/>
                <w:bCs/>
                <w:szCs w:val="24"/>
                <w:rtl/>
              </w:rPr>
              <w:t>متن ماده</w:t>
            </w:r>
          </w:p>
        </w:tc>
        <w:tc>
          <w:tcPr>
            <w:tcW w:w="4126" w:type="dxa"/>
            <w:shd w:val="clear" w:color="auto" w:fill="D6E3BC" w:themeFill="accent3" w:themeFillTint="66"/>
            <w:vAlign w:val="center"/>
          </w:tcPr>
          <w:p w:rsidR="00A3643A" w:rsidRPr="00DB7EEE" w:rsidRDefault="00A3643A" w:rsidP="00A3643A">
            <w:pPr>
              <w:spacing w:after="0"/>
              <w:jc w:val="center"/>
              <w:rPr>
                <w:b/>
                <w:bCs/>
                <w:szCs w:val="24"/>
                <w:rtl/>
              </w:rPr>
            </w:pPr>
            <w:r w:rsidRPr="00DB7EEE">
              <w:rPr>
                <w:rFonts w:hint="cs"/>
                <w:b/>
                <w:bCs/>
                <w:szCs w:val="24"/>
                <w:rtl/>
              </w:rPr>
              <w:t>اقدامات انجام شده سازمان ملی استاندارد در رابطه با ماده 3</w:t>
            </w:r>
          </w:p>
        </w:tc>
      </w:tr>
      <w:tr w:rsidR="00A3643A" w:rsidRPr="00DB7EEE" w:rsidTr="00A3643A">
        <w:tc>
          <w:tcPr>
            <w:tcW w:w="756" w:type="dxa"/>
            <w:vAlign w:val="center"/>
          </w:tcPr>
          <w:p w:rsidR="00A3643A" w:rsidRPr="00DB7EEE" w:rsidRDefault="00A3643A" w:rsidP="00A3643A">
            <w:pPr>
              <w:spacing w:after="0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4360" w:type="dxa"/>
            <w:gridSpan w:val="2"/>
            <w:vAlign w:val="center"/>
          </w:tcPr>
          <w:p w:rsidR="00A3643A" w:rsidRPr="00DB7EEE" w:rsidRDefault="00A3643A" w:rsidP="00A3643A">
            <w:pPr>
              <w:spacing w:after="0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سازمان ملی استاندارد</w:t>
            </w:r>
            <w:r w:rsidRPr="00DB7EEE">
              <w:rPr>
                <w:rFonts w:hint="cs"/>
                <w:sz w:val="28"/>
                <w:rtl/>
              </w:rPr>
              <w:t xml:space="preserve"> موظف است با همکاری وزارت بهداشت، درمان و آموزش پزشکی و سایر دستگاه</w:t>
            </w:r>
            <w:r w:rsidRPr="00DB7EEE">
              <w:rPr>
                <w:rFonts w:hint="cs"/>
                <w:sz w:val="28"/>
                <w:rtl/>
              </w:rPr>
              <w:softHyphen/>
            </w:r>
            <w:r w:rsidRPr="00DB7EEE">
              <w:rPr>
                <w:rFonts w:hint="cs"/>
                <w:sz w:val="28"/>
                <w:rtl/>
              </w:rPr>
              <w:softHyphen/>
              <w:t>ها حسب مورد، استاندارد کیفیت و بهداشت محصولات و مواد بازیافتی و استفاده</w:t>
            </w:r>
            <w:r w:rsidRPr="00DB7EEE">
              <w:rPr>
                <w:rFonts w:hint="cs"/>
                <w:sz w:val="28"/>
                <w:rtl/>
              </w:rPr>
              <w:softHyphen/>
              <w:t>های مجاز آن</w:t>
            </w:r>
            <w:r w:rsidRPr="00DB7EEE">
              <w:rPr>
                <w:rFonts w:hint="cs"/>
                <w:sz w:val="28"/>
                <w:rtl/>
              </w:rPr>
              <w:softHyphen/>
              <w:t>ها را تهیه نماید.</w:t>
            </w:r>
          </w:p>
          <w:p w:rsidR="00A3643A" w:rsidRPr="00DB7EEE" w:rsidRDefault="00A3643A" w:rsidP="00A3643A">
            <w:pPr>
              <w:spacing w:after="0"/>
              <w:jc w:val="center"/>
              <w:rPr>
                <w:sz w:val="28"/>
                <w:rtl/>
              </w:rPr>
            </w:pPr>
            <w:proofErr w:type="gramStart"/>
            <w:r w:rsidRPr="00DB7EEE">
              <w:t>)</w:t>
            </w:r>
            <w:r w:rsidRPr="00DB7EEE">
              <w:rPr>
                <w:rtl/>
              </w:rPr>
              <w:t>بر</w:t>
            </w:r>
            <w:proofErr w:type="gramEnd"/>
            <w:r w:rsidRPr="00DB7EEE">
              <w:rPr>
                <w:rtl/>
              </w:rPr>
              <w:t xml:space="preserve"> اساس قانون متاخر، تدوین استاندارد بر عهده دستگاههای اجرایی گذاشته شده است و سازمان ملی استاندارد ناظر بر تدوین استاندارد و موظف به مشارکت در برگزاری کمیته ها و تصویب است</w:t>
            </w:r>
            <w:r w:rsidRPr="00DB7EEE">
              <w:t>.(</w:t>
            </w:r>
          </w:p>
        </w:tc>
        <w:tc>
          <w:tcPr>
            <w:tcW w:w="4126" w:type="dxa"/>
            <w:vAlign w:val="center"/>
          </w:tcPr>
          <w:p w:rsidR="00A3643A" w:rsidRPr="00A3643A" w:rsidRDefault="00A3643A" w:rsidP="00A3643A">
            <w:pPr>
              <w:spacing w:after="0"/>
              <w:jc w:val="center"/>
              <w:rPr>
                <w:szCs w:val="24"/>
                <w:rtl/>
              </w:rPr>
            </w:pPr>
            <w:r w:rsidRPr="00A3643A">
              <w:rPr>
                <w:szCs w:val="24"/>
                <w:rtl/>
              </w:rPr>
              <w:t xml:space="preserve">تدوین </w:t>
            </w:r>
            <w:r w:rsidRPr="00A3643A">
              <w:rPr>
                <w:rFonts w:hint="cs"/>
                <w:szCs w:val="24"/>
                <w:rtl/>
              </w:rPr>
              <w:t>44</w:t>
            </w:r>
            <w:r w:rsidRPr="00A3643A">
              <w:rPr>
                <w:szCs w:val="24"/>
                <w:rtl/>
              </w:rPr>
              <w:t xml:space="preserve"> استاندارد ملی به شرح پیوست شماره 1 و تهیه پیش نویس </w:t>
            </w:r>
            <w:r w:rsidRPr="00A3643A">
              <w:rPr>
                <w:rFonts w:hint="cs"/>
                <w:szCs w:val="24"/>
                <w:rtl/>
              </w:rPr>
              <w:t>3</w:t>
            </w:r>
            <w:r w:rsidRPr="00A3643A">
              <w:rPr>
                <w:szCs w:val="24"/>
                <w:rtl/>
              </w:rPr>
              <w:t xml:space="preserve"> استاندارد به شرح پیوست شماره 2</w:t>
            </w:r>
          </w:p>
        </w:tc>
      </w:tr>
      <w:tr w:rsidR="00A3643A" w:rsidRPr="00DB7EEE" w:rsidTr="00A3643A">
        <w:tc>
          <w:tcPr>
            <w:tcW w:w="9242" w:type="dxa"/>
            <w:gridSpan w:val="4"/>
            <w:shd w:val="clear" w:color="auto" w:fill="D6E3BC" w:themeFill="accent3" w:themeFillTint="66"/>
            <w:vAlign w:val="center"/>
          </w:tcPr>
          <w:p w:rsidR="00A3643A" w:rsidRPr="00DB7EEE" w:rsidRDefault="00A3643A" w:rsidP="00A3643A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28"/>
                <w:rtl/>
              </w:rPr>
              <w:t>آئین</w:t>
            </w:r>
            <w:r>
              <w:rPr>
                <w:rFonts w:hint="cs"/>
                <w:b/>
                <w:bCs/>
                <w:sz w:val="28"/>
                <w:rtl/>
              </w:rPr>
              <w:softHyphen/>
              <w:t xml:space="preserve">نامه اجرایی </w:t>
            </w:r>
            <w:r w:rsidRPr="00DB7EEE">
              <w:rPr>
                <w:rFonts w:hint="cs"/>
                <w:b/>
                <w:bCs/>
                <w:sz w:val="28"/>
                <w:rtl/>
              </w:rPr>
              <w:t>قانون مدیریت پسماند</w:t>
            </w:r>
          </w:p>
        </w:tc>
      </w:tr>
      <w:tr w:rsidR="00A3643A" w:rsidRPr="00DB7EEE" w:rsidTr="00A3643A">
        <w:tc>
          <w:tcPr>
            <w:tcW w:w="756" w:type="dxa"/>
            <w:shd w:val="clear" w:color="auto" w:fill="D6E3BC" w:themeFill="accent3" w:themeFillTint="66"/>
            <w:vAlign w:val="center"/>
          </w:tcPr>
          <w:p w:rsidR="00A3643A" w:rsidRPr="00DB7EEE" w:rsidRDefault="00A3643A" w:rsidP="00A3643A">
            <w:pPr>
              <w:spacing w:after="0"/>
              <w:jc w:val="center"/>
              <w:rPr>
                <w:b/>
                <w:bCs/>
                <w:szCs w:val="24"/>
                <w:rtl/>
              </w:rPr>
            </w:pPr>
            <w:r w:rsidRPr="00DB7EEE">
              <w:rPr>
                <w:rFonts w:hint="cs"/>
                <w:b/>
                <w:bCs/>
                <w:szCs w:val="24"/>
                <w:rtl/>
              </w:rPr>
              <w:t>شماره ماده</w:t>
            </w:r>
          </w:p>
        </w:tc>
        <w:tc>
          <w:tcPr>
            <w:tcW w:w="8486" w:type="dxa"/>
            <w:gridSpan w:val="3"/>
            <w:shd w:val="clear" w:color="auto" w:fill="D6E3BC" w:themeFill="accent3" w:themeFillTint="66"/>
            <w:vAlign w:val="center"/>
          </w:tcPr>
          <w:p w:rsidR="00A3643A" w:rsidRPr="00DB7EEE" w:rsidRDefault="00A3643A" w:rsidP="00A3643A">
            <w:pPr>
              <w:spacing w:after="0"/>
              <w:jc w:val="center"/>
              <w:rPr>
                <w:b/>
                <w:bCs/>
                <w:szCs w:val="24"/>
                <w:rtl/>
              </w:rPr>
            </w:pPr>
            <w:r w:rsidRPr="00DB7EEE">
              <w:rPr>
                <w:rFonts w:hint="cs"/>
                <w:b/>
                <w:bCs/>
                <w:szCs w:val="24"/>
                <w:rtl/>
              </w:rPr>
              <w:t>متن ماده</w:t>
            </w:r>
          </w:p>
        </w:tc>
      </w:tr>
      <w:tr w:rsidR="00A3643A" w:rsidRPr="00DB7EEE" w:rsidTr="00A3643A">
        <w:trPr>
          <w:trHeight w:val="887"/>
        </w:trPr>
        <w:tc>
          <w:tcPr>
            <w:tcW w:w="756" w:type="dxa"/>
            <w:vMerge w:val="restart"/>
            <w:vAlign w:val="center"/>
          </w:tcPr>
          <w:p w:rsidR="00A3643A" w:rsidRPr="00DB7EEE" w:rsidRDefault="00A3643A" w:rsidP="00A3643A">
            <w:pPr>
              <w:spacing w:after="0"/>
              <w:jc w:val="center"/>
              <w:rPr>
                <w:b/>
                <w:bCs/>
                <w:szCs w:val="24"/>
                <w:rtl/>
              </w:rPr>
            </w:pPr>
            <w:r w:rsidRPr="00DB7EEE">
              <w:rPr>
                <w:rFonts w:hint="cs"/>
                <w:b/>
                <w:bCs/>
                <w:szCs w:val="24"/>
                <w:rtl/>
              </w:rPr>
              <w:t>16</w:t>
            </w:r>
          </w:p>
        </w:tc>
        <w:tc>
          <w:tcPr>
            <w:tcW w:w="8486" w:type="dxa"/>
            <w:gridSpan w:val="3"/>
            <w:vAlign w:val="center"/>
          </w:tcPr>
          <w:p w:rsidR="00A3643A" w:rsidRPr="00A3643A" w:rsidRDefault="00A3643A" w:rsidP="00A3643A">
            <w:pPr>
              <w:spacing w:after="0"/>
              <w:jc w:val="center"/>
              <w:rPr>
                <w:b/>
                <w:bCs/>
                <w:szCs w:val="24"/>
                <w:rtl/>
              </w:rPr>
            </w:pPr>
            <w:r w:rsidRPr="00A3643A">
              <w:rPr>
                <w:rFonts w:hint="cs"/>
                <w:b/>
                <w:bCs/>
                <w:szCs w:val="24"/>
                <w:rtl/>
              </w:rPr>
              <w:t>سازمان ملی استاندارد بايد ظرف يك</w:t>
            </w:r>
            <w:r w:rsidRPr="00A3643A">
              <w:rPr>
                <w:rFonts w:hint="cs"/>
                <w:b/>
                <w:bCs/>
                <w:szCs w:val="24"/>
                <w:rtl/>
              </w:rPr>
              <w:softHyphen/>
              <w:t>سال پس از ابلاغ اين آيين نامه استانداردهاي زير را تدوين نمايند:</w:t>
            </w:r>
          </w:p>
        </w:tc>
      </w:tr>
      <w:tr w:rsidR="00A3643A" w:rsidRPr="00DB7EEE" w:rsidTr="00A3643A">
        <w:trPr>
          <w:trHeight w:val="390"/>
        </w:trPr>
        <w:tc>
          <w:tcPr>
            <w:tcW w:w="756" w:type="dxa"/>
            <w:vMerge/>
            <w:vAlign w:val="center"/>
          </w:tcPr>
          <w:p w:rsidR="00A3643A" w:rsidRPr="00DB7EEE" w:rsidRDefault="00A3643A" w:rsidP="00A3643A">
            <w:pPr>
              <w:spacing w:after="0"/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4243" w:type="dxa"/>
            <w:vAlign w:val="center"/>
          </w:tcPr>
          <w:p w:rsidR="00A3643A" w:rsidRPr="00A3643A" w:rsidRDefault="00A3643A" w:rsidP="00A3643A">
            <w:pPr>
              <w:pStyle w:val="ListParagraph"/>
              <w:numPr>
                <w:ilvl w:val="0"/>
                <w:numId w:val="1"/>
              </w:numPr>
              <w:spacing w:after="0"/>
              <w:ind w:right="-57"/>
              <w:jc w:val="center"/>
              <w:rPr>
                <w:szCs w:val="24"/>
              </w:rPr>
            </w:pPr>
            <w:r w:rsidRPr="00A3643A">
              <w:rPr>
                <w:szCs w:val="24"/>
                <w:rtl/>
              </w:rPr>
              <w:t>استاندارد کاغذ و پلاستیک بازیافتی و موارد مجاز استفاده آن</w:t>
            </w:r>
            <w:r w:rsidRPr="00A3643A">
              <w:rPr>
                <w:rFonts w:hint="cs"/>
                <w:szCs w:val="24"/>
                <w:rtl/>
              </w:rPr>
              <w:softHyphen/>
            </w:r>
            <w:r w:rsidRPr="00A3643A">
              <w:rPr>
                <w:szCs w:val="24"/>
                <w:rtl/>
              </w:rPr>
              <w:t>ها از جنبه های فنی</w:t>
            </w:r>
            <w:r w:rsidRPr="00A3643A">
              <w:rPr>
                <w:rFonts w:hint="cs"/>
                <w:szCs w:val="24"/>
                <w:rtl/>
              </w:rPr>
              <w:t xml:space="preserve"> </w:t>
            </w:r>
            <w:r w:rsidRPr="00A3643A">
              <w:rPr>
                <w:szCs w:val="24"/>
                <w:rtl/>
              </w:rPr>
              <w:t>و بهداشتی</w:t>
            </w:r>
          </w:p>
        </w:tc>
        <w:tc>
          <w:tcPr>
            <w:tcW w:w="4243" w:type="dxa"/>
            <w:gridSpan w:val="2"/>
            <w:vAlign w:val="center"/>
          </w:tcPr>
          <w:p w:rsidR="00A3643A" w:rsidRPr="00A3643A" w:rsidRDefault="00A3643A" w:rsidP="00A3643A">
            <w:pPr>
              <w:spacing w:after="0"/>
              <w:ind w:left="-57" w:right="-57"/>
              <w:jc w:val="center"/>
              <w:rPr>
                <w:szCs w:val="24"/>
                <w:rtl/>
              </w:rPr>
            </w:pPr>
            <w:r w:rsidRPr="00A3643A">
              <w:rPr>
                <w:szCs w:val="24"/>
                <w:rtl/>
              </w:rPr>
              <w:t xml:space="preserve">تدوین 30 استاندارد ملی به شرح پیوست شماره 3 و تهیه پیش نویس </w:t>
            </w:r>
            <w:r w:rsidRPr="00A3643A">
              <w:rPr>
                <w:rFonts w:hint="cs"/>
                <w:szCs w:val="24"/>
                <w:rtl/>
              </w:rPr>
              <w:t>4</w:t>
            </w:r>
            <w:r w:rsidRPr="00A3643A">
              <w:rPr>
                <w:szCs w:val="24"/>
                <w:rtl/>
              </w:rPr>
              <w:t xml:space="preserve"> استاندارد به شرح پیوست شماره 4</w:t>
            </w:r>
          </w:p>
        </w:tc>
      </w:tr>
      <w:tr w:rsidR="00A3643A" w:rsidRPr="00DB7EEE" w:rsidTr="00A3643A">
        <w:trPr>
          <w:trHeight w:val="387"/>
        </w:trPr>
        <w:tc>
          <w:tcPr>
            <w:tcW w:w="756" w:type="dxa"/>
            <w:vMerge/>
            <w:vAlign w:val="center"/>
          </w:tcPr>
          <w:p w:rsidR="00A3643A" w:rsidRPr="00DB7EEE" w:rsidRDefault="00A3643A" w:rsidP="00A3643A">
            <w:pPr>
              <w:spacing w:after="0"/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4243" w:type="dxa"/>
            <w:vAlign w:val="center"/>
          </w:tcPr>
          <w:p w:rsidR="00A3643A" w:rsidRPr="00A3643A" w:rsidRDefault="00A3643A" w:rsidP="00A3643A">
            <w:pPr>
              <w:pStyle w:val="ListParagraph"/>
              <w:numPr>
                <w:ilvl w:val="0"/>
                <w:numId w:val="1"/>
              </w:numPr>
              <w:spacing w:after="0"/>
              <w:ind w:right="-57"/>
              <w:jc w:val="center"/>
              <w:rPr>
                <w:szCs w:val="24"/>
              </w:rPr>
            </w:pPr>
            <w:r w:rsidRPr="00A3643A">
              <w:rPr>
                <w:szCs w:val="24"/>
              </w:rPr>
              <w:t xml:space="preserve"> </w:t>
            </w:r>
            <w:r w:rsidRPr="00A3643A">
              <w:rPr>
                <w:szCs w:val="24"/>
                <w:rtl/>
              </w:rPr>
              <w:t>استانداردهای کود آلی به خصوص کود کمپوست حاصل از پردازش پسماندهای</w:t>
            </w:r>
            <w:r w:rsidRPr="00A3643A">
              <w:rPr>
                <w:rFonts w:hint="cs"/>
                <w:szCs w:val="24"/>
                <w:rtl/>
              </w:rPr>
              <w:t xml:space="preserve"> </w:t>
            </w:r>
            <w:r w:rsidRPr="00A3643A">
              <w:rPr>
                <w:szCs w:val="24"/>
                <w:rtl/>
              </w:rPr>
              <w:t>عادی وکشاورزی</w:t>
            </w:r>
          </w:p>
        </w:tc>
        <w:tc>
          <w:tcPr>
            <w:tcW w:w="4243" w:type="dxa"/>
            <w:gridSpan w:val="2"/>
            <w:vAlign w:val="center"/>
          </w:tcPr>
          <w:p w:rsidR="00A3643A" w:rsidRPr="00A3643A" w:rsidRDefault="00A3643A" w:rsidP="00A3643A">
            <w:pPr>
              <w:spacing w:after="0"/>
              <w:ind w:left="-57" w:right="-57"/>
              <w:jc w:val="center"/>
              <w:rPr>
                <w:szCs w:val="24"/>
                <w:rtl/>
              </w:rPr>
            </w:pPr>
            <w:r w:rsidRPr="00A3643A">
              <w:rPr>
                <w:rFonts w:hint="cs"/>
                <w:szCs w:val="24"/>
                <w:rtl/>
              </w:rPr>
              <w:t>ت</w:t>
            </w:r>
            <w:r w:rsidRPr="00A3643A">
              <w:rPr>
                <w:szCs w:val="24"/>
                <w:rtl/>
              </w:rPr>
              <w:t xml:space="preserve">دوین 34 استاندارد ملی به شرح پیوست شماره 5 و تهیه پیش نویس </w:t>
            </w:r>
            <w:r w:rsidRPr="00A3643A">
              <w:rPr>
                <w:rFonts w:hint="cs"/>
                <w:szCs w:val="24"/>
                <w:rtl/>
              </w:rPr>
              <w:t>3</w:t>
            </w:r>
            <w:r w:rsidRPr="00A3643A">
              <w:rPr>
                <w:szCs w:val="24"/>
                <w:rtl/>
              </w:rPr>
              <w:t xml:space="preserve"> استاندارد به شرح پیوست شماره 6</w:t>
            </w:r>
          </w:p>
        </w:tc>
      </w:tr>
      <w:tr w:rsidR="00A3643A" w:rsidRPr="00DB7EEE" w:rsidTr="00A3643A">
        <w:trPr>
          <w:trHeight w:val="387"/>
        </w:trPr>
        <w:tc>
          <w:tcPr>
            <w:tcW w:w="756" w:type="dxa"/>
            <w:vMerge/>
            <w:vAlign w:val="center"/>
          </w:tcPr>
          <w:p w:rsidR="00A3643A" w:rsidRPr="00DB7EEE" w:rsidRDefault="00A3643A" w:rsidP="00A3643A">
            <w:pPr>
              <w:spacing w:after="0"/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4243" w:type="dxa"/>
            <w:vAlign w:val="center"/>
          </w:tcPr>
          <w:p w:rsidR="00A3643A" w:rsidRPr="00A3643A" w:rsidRDefault="00A3643A" w:rsidP="00A3643A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szCs w:val="24"/>
              </w:rPr>
            </w:pPr>
            <w:r w:rsidRPr="00A3643A">
              <w:rPr>
                <w:szCs w:val="24"/>
                <w:rtl/>
              </w:rPr>
              <w:t>استاندارد تاسیسات و تجهیزات مرتبط با مدیریت پسماندها از جمله دستگاه</w:t>
            </w:r>
            <w:r w:rsidRPr="00A3643A">
              <w:rPr>
                <w:rFonts w:hint="cs"/>
                <w:szCs w:val="24"/>
                <w:rtl/>
              </w:rPr>
              <w:softHyphen/>
            </w:r>
            <w:r w:rsidRPr="00A3643A">
              <w:rPr>
                <w:szCs w:val="24"/>
                <w:rtl/>
              </w:rPr>
              <w:t>های زباله</w:t>
            </w:r>
            <w:r w:rsidRPr="00A3643A">
              <w:rPr>
                <w:rFonts w:hint="cs"/>
                <w:szCs w:val="24"/>
                <w:rtl/>
              </w:rPr>
              <w:t xml:space="preserve"> </w:t>
            </w:r>
            <w:r w:rsidRPr="00A3643A">
              <w:rPr>
                <w:szCs w:val="24"/>
                <w:rtl/>
              </w:rPr>
              <w:t>سوز و نوع‌پسماندهای مورد پذیرش از جنبه فنی و بهداشتی</w:t>
            </w:r>
          </w:p>
        </w:tc>
        <w:tc>
          <w:tcPr>
            <w:tcW w:w="4243" w:type="dxa"/>
            <w:gridSpan w:val="2"/>
            <w:vAlign w:val="center"/>
          </w:tcPr>
          <w:p w:rsidR="00A3643A" w:rsidRPr="00A3643A" w:rsidRDefault="00A3643A" w:rsidP="00A3643A">
            <w:pPr>
              <w:spacing w:after="0"/>
              <w:ind w:left="-57" w:right="-57"/>
              <w:jc w:val="center"/>
              <w:rPr>
                <w:szCs w:val="24"/>
                <w:rtl/>
              </w:rPr>
            </w:pPr>
            <w:r w:rsidRPr="00A3643A">
              <w:rPr>
                <w:rFonts w:hint="cs"/>
                <w:szCs w:val="24"/>
                <w:rtl/>
              </w:rPr>
              <w:t>ت</w:t>
            </w:r>
            <w:r w:rsidRPr="00A3643A">
              <w:rPr>
                <w:szCs w:val="24"/>
                <w:rtl/>
              </w:rPr>
              <w:t xml:space="preserve">دوین </w:t>
            </w:r>
            <w:r w:rsidRPr="00A3643A">
              <w:rPr>
                <w:rFonts w:hint="cs"/>
                <w:szCs w:val="24"/>
                <w:rtl/>
              </w:rPr>
              <w:t>52</w:t>
            </w:r>
            <w:r w:rsidRPr="00A3643A">
              <w:rPr>
                <w:szCs w:val="24"/>
                <w:rtl/>
              </w:rPr>
              <w:t xml:space="preserve"> استاندارد ملی به شرح پیوست شماره 7 و تهیه پیش نویس </w:t>
            </w:r>
            <w:r w:rsidRPr="00A3643A">
              <w:rPr>
                <w:rFonts w:hint="cs"/>
                <w:szCs w:val="24"/>
                <w:rtl/>
              </w:rPr>
              <w:t>7</w:t>
            </w:r>
            <w:r w:rsidRPr="00A3643A">
              <w:rPr>
                <w:szCs w:val="24"/>
                <w:rtl/>
              </w:rPr>
              <w:t xml:space="preserve"> استاندارد به شرح پیوست شماره 8</w:t>
            </w:r>
          </w:p>
        </w:tc>
      </w:tr>
      <w:tr w:rsidR="00A3643A" w:rsidRPr="00DB7EEE" w:rsidTr="00A3643A">
        <w:trPr>
          <w:trHeight w:val="387"/>
        </w:trPr>
        <w:tc>
          <w:tcPr>
            <w:tcW w:w="756" w:type="dxa"/>
            <w:vMerge/>
            <w:vAlign w:val="center"/>
          </w:tcPr>
          <w:p w:rsidR="00A3643A" w:rsidRPr="00DB7EEE" w:rsidRDefault="00A3643A" w:rsidP="00A3643A">
            <w:pPr>
              <w:spacing w:after="0"/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4243" w:type="dxa"/>
            <w:vAlign w:val="center"/>
          </w:tcPr>
          <w:p w:rsidR="00A3643A" w:rsidRPr="00A3643A" w:rsidRDefault="00A3643A" w:rsidP="00A3643A">
            <w:pPr>
              <w:spacing w:after="0"/>
              <w:jc w:val="center"/>
              <w:rPr>
                <w:szCs w:val="24"/>
              </w:rPr>
            </w:pPr>
            <w:r w:rsidRPr="00A3643A">
              <w:rPr>
                <w:rFonts w:hint="cs"/>
                <w:szCs w:val="24"/>
                <w:rtl/>
              </w:rPr>
              <w:t>4-</w:t>
            </w:r>
            <w:r w:rsidRPr="00A3643A">
              <w:rPr>
                <w:szCs w:val="24"/>
              </w:rPr>
              <w:t xml:space="preserve"> </w:t>
            </w:r>
            <w:r w:rsidRPr="00A3643A">
              <w:rPr>
                <w:szCs w:val="24"/>
                <w:rtl/>
              </w:rPr>
              <w:t>استاندارد علایم نشان دهنده نوع و جنس پلاستیک</w:t>
            </w:r>
            <w:r w:rsidRPr="00A3643A">
              <w:rPr>
                <w:rFonts w:hint="cs"/>
                <w:szCs w:val="24"/>
                <w:rtl/>
              </w:rPr>
              <w:softHyphen/>
            </w:r>
            <w:r w:rsidRPr="00A3643A">
              <w:rPr>
                <w:szCs w:val="24"/>
                <w:rtl/>
              </w:rPr>
              <w:t>ها و نیز پلاستیک</w:t>
            </w:r>
            <w:r w:rsidRPr="00A3643A">
              <w:rPr>
                <w:rFonts w:hint="cs"/>
                <w:szCs w:val="24"/>
                <w:rtl/>
              </w:rPr>
              <w:softHyphen/>
            </w:r>
            <w:r w:rsidRPr="00A3643A">
              <w:rPr>
                <w:szCs w:val="24"/>
                <w:rtl/>
              </w:rPr>
              <w:t>های قابل تجزیه</w:t>
            </w:r>
            <w:r w:rsidRPr="00A3643A">
              <w:rPr>
                <w:szCs w:val="24"/>
              </w:rPr>
              <w:t xml:space="preserve"> </w:t>
            </w:r>
            <w:r w:rsidRPr="00A3643A">
              <w:rPr>
                <w:szCs w:val="24"/>
                <w:rtl/>
              </w:rPr>
              <w:t>در طبیعت</w:t>
            </w:r>
          </w:p>
        </w:tc>
        <w:tc>
          <w:tcPr>
            <w:tcW w:w="4243" w:type="dxa"/>
            <w:gridSpan w:val="2"/>
            <w:vAlign w:val="center"/>
          </w:tcPr>
          <w:p w:rsidR="00A3643A" w:rsidRPr="00A3643A" w:rsidRDefault="00A3643A" w:rsidP="00A3643A">
            <w:pPr>
              <w:spacing w:after="0"/>
              <w:ind w:left="-57" w:right="-57"/>
              <w:jc w:val="center"/>
              <w:rPr>
                <w:szCs w:val="24"/>
                <w:rtl/>
              </w:rPr>
            </w:pPr>
            <w:r w:rsidRPr="00A3643A">
              <w:rPr>
                <w:szCs w:val="24"/>
                <w:rtl/>
              </w:rPr>
              <w:t>تدوین 10 استاندارد ملی به شرح پیوست شماره 9</w:t>
            </w:r>
          </w:p>
        </w:tc>
      </w:tr>
      <w:tr w:rsidR="00A3643A" w:rsidRPr="00DB7EEE" w:rsidTr="00A3643A">
        <w:trPr>
          <w:trHeight w:val="387"/>
        </w:trPr>
        <w:tc>
          <w:tcPr>
            <w:tcW w:w="756" w:type="dxa"/>
            <w:vMerge/>
            <w:vAlign w:val="center"/>
          </w:tcPr>
          <w:p w:rsidR="00A3643A" w:rsidRPr="00DB7EEE" w:rsidRDefault="00A3643A" w:rsidP="00A3643A">
            <w:pPr>
              <w:spacing w:after="0"/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4243" w:type="dxa"/>
            <w:vAlign w:val="center"/>
          </w:tcPr>
          <w:p w:rsidR="00A3643A" w:rsidRPr="00A3643A" w:rsidRDefault="00A3643A" w:rsidP="00A3643A">
            <w:pPr>
              <w:spacing w:after="0"/>
              <w:jc w:val="center"/>
              <w:rPr>
                <w:szCs w:val="24"/>
              </w:rPr>
            </w:pPr>
            <w:r w:rsidRPr="00A3643A">
              <w:rPr>
                <w:rFonts w:hint="cs"/>
                <w:szCs w:val="24"/>
                <w:rtl/>
              </w:rPr>
              <w:t>5-</w:t>
            </w:r>
            <w:r w:rsidRPr="00A3643A">
              <w:rPr>
                <w:szCs w:val="24"/>
              </w:rPr>
              <w:t xml:space="preserve"> </w:t>
            </w:r>
            <w:r w:rsidRPr="00A3643A">
              <w:rPr>
                <w:szCs w:val="24"/>
                <w:rtl/>
              </w:rPr>
              <w:t>استاندارد سایر مواردی که حسب مورد از سوی کارگروه ملی پیشنهاد می شود</w:t>
            </w:r>
            <w:r w:rsidRPr="00A3643A">
              <w:rPr>
                <w:szCs w:val="24"/>
              </w:rPr>
              <w:t>.</w:t>
            </w:r>
          </w:p>
        </w:tc>
        <w:tc>
          <w:tcPr>
            <w:tcW w:w="4243" w:type="dxa"/>
            <w:gridSpan w:val="2"/>
            <w:vAlign w:val="center"/>
          </w:tcPr>
          <w:p w:rsidR="00A3643A" w:rsidRPr="00A3643A" w:rsidRDefault="00A3643A" w:rsidP="00A3643A">
            <w:pPr>
              <w:spacing w:after="0"/>
              <w:ind w:left="-57" w:right="-57"/>
              <w:jc w:val="center"/>
              <w:rPr>
                <w:szCs w:val="24"/>
                <w:rtl/>
              </w:rPr>
            </w:pPr>
            <w:r w:rsidRPr="00A3643A">
              <w:rPr>
                <w:szCs w:val="24"/>
                <w:rtl/>
              </w:rPr>
              <w:t xml:space="preserve">تدوین </w:t>
            </w:r>
            <w:r w:rsidRPr="00A3643A">
              <w:rPr>
                <w:rFonts w:hint="cs"/>
                <w:szCs w:val="24"/>
                <w:rtl/>
              </w:rPr>
              <w:t>124</w:t>
            </w:r>
            <w:r w:rsidRPr="00A3643A">
              <w:rPr>
                <w:szCs w:val="24"/>
                <w:rtl/>
              </w:rPr>
              <w:t xml:space="preserve"> استاندارد ملی به شرح پیوست شماره 10 و تهیه پیش نویس </w:t>
            </w:r>
            <w:r w:rsidRPr="00A3643A">
              <w:rPr>
                <w:rFonts w:hint="cs"/>
                <w:szCs w:val="24"/>
                <w:rtl/>
              </w:rPr>
              <w:t>11</w:t>
            </w:r>
            <w:r w:rsidRPr="00A3643A">
              <w:rPr>
                <w:szCs w:val="24"/>
                <w:rtl/>
              </w:rPr>
              <w:t xml:space="preserve"> استاندارد به شرح پیوست شماره 1</w:t>
            </w:r>
          </w:p>
        </w:tc>
      </w:tr>
    </w:tbl>
    <w:p w:rsidR="00A3643A" w:rsidRPr="00A3643A" w:rsidRDefault="00A3643A" w:rsidP="00A3643A"/>
    <w:p w:rsidR="00A3643A" w:rsidRPr="00A3643A" w:rsidRDefault="00A3643A" w:rsidP="00A3643A"/>
    <w:p w:rsidR="00A3643A" w:rsidRPr="00A3643A" w:rsidRDefault="00A3643A" w:rsidP="00A3643A"/>
    <w:p w:rsidR="00A3643A" w:rsidRPr="00A3643A" w:rsidRDefault="00A3643A" w:rsidP="00A3643A"/>
    <w:p w:rsidR="00A3643A" w:rsidRPr="00A3643A" w:rsidRDefault="00A3643A" w:rsidP="00A3643A"/>
    <w:p w:rsidR="00A3643A" w:rsidRPr="00A3643A" w:rsidRDefault="00A3643A" w:rsidP="00A3643A"/>
    <w:p w:rsidR="00A3643A" w:rsidRPr="00A3643A" w:rsidRDefault="00A3643A" w:rsidP="00A3643A"/>
    <w:p w:rsidR="00A3643A" w:rsidRPr="00A3643A" w:rsidRDefault="00A3643A" w:rsidP="00A3643A"/>
    <w:p w:rsidR="00A3643A" w:rsidRPr="00A3643A" w:rsidRDefault="00A3643A" w:rsidP="00A3643A"/>
    <w:p w:rsidR="00A3643A" w:rsidRPr="00A3643A" w:rsidRDefault="00A3643A" w:rsidP="00A3643A"/>
    <w:p w:rsidR="00A3643A" w:rsidRPr="00A3643A" w:rsidRDefault="00A3643A" w:rsidP="00A3643A"/>
    <w:p w:rsidR="00A3643A" w:rsidRPr="00A3643A" w:rsidRDefault="00A3643A" w:rsidP="00A3643A"/>
    <w:p w:rsidR="00A3643A" w:rsidRPr="00A3643A" w:rsidRDefault="00A3643A" w:rsidP="00A3643A"/>
    <w:p w:rsidR="00A3643A" w:rsidRPr="00A3643A" w:rsidRDefault="00A3643A" w:rsidP="00A3643A"/>
    <w:p w:rsidR="00C15E08" w:rsidRPr="00A3643A" w:rsidRDefault="00C15E08" w:rsidP="00A3643A"/>
    <w:sectPr w:rsidR="00C15E08" w:rsidRPr="00A3643A" w:rsidSect="00A3643A">
      <w:pgSz w:w="11906" w:h="16838"/>
      <w:pgMar w:top="720" w:right="720" w:bottom="720" w:left="720" w:header="56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F9" w:rsidRDefault="00CB51F9" w:rsidP="00A3643A">
      <w:pPr>
        <w:spacing w:after="0"/>
      </w:pPr>
      <w:r>
        <w:separator/>
      </w:r>
    </w:p>
  </w:endnote>
  <w:endnote w:type="continuationSeparator" w:id="0">
    <w:p w:rsidR="00CB51F9" w:rsidRDefault="00CB51F9" w:rsidP="00A364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F9" w:rsidRDefault="00CB51F9" w:rsidP="00A3643A">
      <w:pPr>
        <w:spacing w:after="0"/>
      </w:pPr>
      <w:r>
        <w:separator/>
      </w:r>
    </w:p>
  </w:footnote>
  <w:footnote w:type="continuationSeparator" w:id="0">
    <w:p w:rsidR="00CB51F9" w:rsidRDefault="00CB51F9" w:rsidP="00A364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41D93"/>
    <w:multiLevelType w:val="hybridMultilevel"/>
    <w:tmpl w:val="49640590"/>
    <w:lvl w:ilvl="0" w:tplc="E2B00B00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3A"/>
    <w:rsid w:val="002F1485"/>
    <w:rsid w:val="006C06F2"/>
    <w:rsid w:val="007D7100"/>
    <w:rsid w:val="00A3643A"/>
    <w:rsid w:val="00C15E08"/>
    <w:rsid w:val="00CB51F9"/>
    <w:rsid w:val="00F9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پاراگراف متن"/>
    <w:qFormat/>
    <w:rsid w:val="00A3643A"/>
    <w:pPr>
      <w:bidi/>
      <w:spacing w:after="120" w:line="240" w:lineRule="auto"/>
      <w:jc w:val="lowKashida"/>
    </w:pPr>
    <w:rPr>
      <w:rFonts w:ascii="Times New Roman" w:hAnsi="Times New Roman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43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643A"/>
    <w:rPr>
      <w:rFonts w:ascii="Times New Roman" w:hAnsi="Times New Roman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A3643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643A"/>
    <w:rPr>
      <w:rFonts w:ascii="Times New Roman" w:hAnsi="Times New Roman" w:cs="B Nazani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پاراگراف متن"/>
    <w:qFormat/>
    <w:rsid w:val="00A3643A"/>
    <w:pPr>
      <w:bidi/>
      <w:spacing w:after="120" w:line="240" w:lineRule="auto"/>
      <w:jc w:val="lowKashida"/>
    </w:pPr>
    <w:rPr>
      <w:rFonts w:ascii="Times New Roman" w:hAnsi="Times New Roman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43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643A"/>
    <w:rPr>
      <w:rFonts w:ascii="Times New Roman" w:hAnsi="Times New Roman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A3643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643A"/>
    <w:rPr>
      <w:rFonts w:ascii="Times New Roman" w:hAnsi="Times New Roman" w:cs="B Nazani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 keshmiri</dc:creator>
  <cp:lastModifiedBy>mitra keshmiri</cp:lastModifiedBy>
  <cp:revision>2</cp:revision>
  <cp:lastPrinted>2021-11-06T11:04:00Z</cp:lastPrinted>
  <dcterms:created xsi:type="dcterms:W3CDTF">2021-11-06T10:51:00Z</dcterms:created>
  <dcterms:modified xsi:type="dcterms:W3CDTF">2021-11-06T11:05:00Z</dcterms:modified>
</cp:coreProperties>
</file>